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B79490F" w:rsidR="005D7902" w:rsidRPr="000A753D" w:rsidRDefault="000A753D" w:rsidP="000A753D">
      <w:pPr>
        <w:spacing w:line="360" w:lineRule="auto"/>
        <w:jc w:val="center"/>
        <w:rPr>
          <w:rFonts w:ascii="Bookman Old Style" w:eastAsia="Arial Narrow" w:hAnsi="Bookman Old Style" w:cs="Arial Narrow"/>
          <w:b/>
          <w:sz w:val="24"/>
          <w:szCs w:val="24"/>
        </w:rPr>
      </w:pPr>
      <w:r w:rsidRPr="000A753D">
        <w:rPr>
          <w:rFonts w:ascii="Bookman Old Style" w:eastAsia="Arial Narrow" w:hAnsi="Bookman Old Style" w:cs="Arial Narrow"/>
          <w:b/>
          <w:sz w:val="24"/>
          <w:szCs w:val="24"/>
        </w:rPr>
        <w:t>Decreto n° 2923, de 17 de março de 2020.</w:t>
      </w:r>
    </w:p>
    <w:p w14:paraId="00000002" w14:textId="77777777" w:rsidR="005D7902" w:rsidRPr="00F92F00" w:rsidRDefault="00A83F5F" w:rsidP="000A753D">
      <w:pPr>
        <w:spacing w:line="360" w:lineRule="auto"/>
        <w:ind w:left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DISPÕE SOBRE AS MEDIDAS PARA ENFRENTAMENTO DA EMERGÊNCIA DE SAÚDE PÚBLICA DE IMPORTÂNCIA INTERNACIONAL DECORRENTE DA INFECÇÃO HUMANA PELO NOVO CORONAVÍRUS (COVID-19) E DÁ OUTRAS PROVIDÊNCIAS </w:t>
      </w:r>
    </w:p>
    <w:p w14:paraId="00000003" w14:textId="10F029D4" w:rsidR="005D7902" w:rsidRPr="00F92F00" w:rsidRDefault="00D83706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 xml:space="preserve">Luiz Henrique </w:t>
      </w:r>
      <w:proofErr w:type="spellStart"/>
      <w:r>
        <w:rPr>
          <w:rFonts w:ascii="Bookman Old Style" w:eastAsia="Arial Narrow" w:hAnsi="Bookman Old Style" w:cs="Arial Narrow"/>
          <w:sz w:val="24"/>
          <w:szCs w:val="24"/>
        </w:rPr>
        <w:t>Saliba</w:t>
      </w:r>
      <w:proofErr w:type="spellEnd"/>
      <w:r>
        <w:rPr>
          <w:rFonts w:ascii="Bookman Old Style" w:eastAsia="Arial Narrow" w:hAnsi="Bookman Old Style" w:cs="Arial Narrow"/>
          <w:sz w:val="24"/>
          <w:szCs w:val="24"/>
        </w:rPr>
        <w:t>, Prefeito Municipal de Papanduva</w:t>
      </w:r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 xml:space="preserve">, Estado de Santa Catarina, no uso de suas atribuições constitucionais e legais, </w:t>
      </w:r>
      <w:proofErr w:type="gramStart"/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>e</w:t>
      </w:r>
      <w:proofErr w:type="gramEnd"/>
    </w:p>
    <w:p w14:paraId="00000004" w14:textId="77777777" w:rsidR="005D7902" w:rsidRPr="00F92F00" w:rsidRDefault="00A83F5F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CONSIDERANDO que a Organização Mundial de Saúde (OMS) declarou, em 11 de março de 2020, que a disseminação comunitária do COVID-19 em todos os Continentes caracteriza pandem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ia; </w:t>
      </w:r>
    </w:p>
    <w:p w14:paraId="00000005" w14:textId="77777777" w:rsidR="005D7902" w:rsidRPr="00F92F00" w:rsidRDefault="00A83F5F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CONSIDERANDO a necessidade de estabelecimento de medidas para enfrentamento da emergência de saúde pública de importância internacional, decorrente da infecção humana pelo novo </w:t>
      </w:r>
      <w:proofErr w:type="spellStart"/>
      <w:r w:rsidRPr="00F92F00">
        <w:rPr>
          <w:rFonts w:ascii="Bookman Old Style" w:eastAsia="Arial Narrow" w:hAnsi="Bookman Old Style" w:cs="Arial Narrow"/>
          <w:sz w:val="24"/>
          <w:szCs w:val="24"/>
        </w:rPr>
        <w:t>coronavírus</w:t>
      </w:r>
      <w:proofErr w:type="spell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(COVID-19); </w:t>
      </w:r>
    </w:p>
    <w:p w14:paraId="00000006" w14:textId="77777777" w:rsidR="005D7902" w:rsidRPr="00F92F00" w:rsidRDefault="00A83F5F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CONSIDERANDO que estudos recentes demostram a efi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cácia das medidas de afastamento social precoce para restringir a disseminação da COVID19;</w:t>
      </w:r>
    </w:p>
    <w:p w14:paraId="00000007" w14:textId="77777777" w:rsidR="005D7902" w:rsidRPr="00F92F00" w:rsidRDefault="00A83F5F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CONSIDERANDO que a adoção de rotinas mais intensas de limpeza em áreas de circulação e de hábitos de higiene básicos são 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indicados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como essenciais para a redução do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potencial de contágio; </w:t>
      </w:r>
    </w:p>
    <w:p w14:paraId="00000008" w14:textId="77777777" w:rsidR="005D7902" w:rsidRPr="00F92F00" w:rsidRDefault="00A83F5F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CONSIDERANDO a necessidade de se reduzir a circulação de pessoas e evitar aglomerações em toda a cidade, inclusive no transporte coletivo; </w:t>
      </w:r>
    </w:p>
    <w:p w14:paraId="00000009" w14:textId="4495D710" w:rsidR="005D7902" w:rsidRPr="00F92F00" w:rsidRDefault="00A83F5F" w:rsidP="00D83706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>CONSIDERANDO a existência de recursos tecnológicos que viabilizam a realização de significat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iva parte das atividad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es administrativas à distância,</w:t>
      </w:r>
    </w:p>
    <w:p w14:paraId="0000000A" w14:textId="43685BA0" w:rsidR="005D7902" w:rsidRPr="00F92F00" w:rsidRDefault="00A83F5F" w:rsidP="00974E0A">
      <w:pPr>
        <w:spacing w:line="360" w:lineRule="auto"/>
        <w:jc w:val="center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DECRETA:</w:t>
      </w:r>
    </w:p>
    <w:p w14:paraId="0000000B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“Capítulo I – Das medidas gerais</w:t>
      </w:r>
    </w:p>
    <w:p w14:paraId="0000000C" w14:textId="66949FE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>Art. 1.º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 xml:space="preserve">.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As medidas para enfrentamento da emergência de saúde pública de importância internacional decorrente do COVID-19, no âmbito do município de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 xml:space="preserve"> Papanduva/SC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, fic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am definidas nos termos deste Decreto. </w:t>
      </w:r>
    </w:p>
    <w:p w14:paraId="0000000D" w14:textId="0D03D1CF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2º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Como medidas individuais recomenda-se que pacientes com sintomas respiratórios fiquem restritos ao domicílio e que pessoas idosas e pacientes de doenças crônicas evitem sua circulação em ambientes com aglomer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ação de pessoas, ainda que estejam saudáveis e assintomáticas. </w:t>
      </w:r>
    </w:p>
    <w:p w14:paraId="0000000E" w14:textId="2FC0A843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3º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Eventos de massa (governamentais, esportivos, artísticos, culturais, políticos, científicos, comerciais, religiosos e outros com concentração próxima de pessoas), com público estimado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igual ou acima de</w:t>
      </w:r>
      <w:r w:rsidRPr="00F92F00">
        <w:rPr>
          <w:rFonts w:ascii="Bookman Old Style" w:eastAsia="Arial Narrow" w:hAnsi="Bookman Old Style" w:cs="Arial Narrow"/>
          <w:color w:val="FF0000"/>
          <w:sz w:val="24"/>
          <w:szCs w:val="24"/>
        </w:rPr>
        <w:t xml:space="preserve"> </w:t>
      </w:r>
      <w:r w:rsidRPr="00974E0A">
        <w:rPr>
          <w:rFonts w:ascii="Bookman Old Style" w:eastAsia="Arial Narrow" w:hAnsi="Bookman Old Style" w:cs="Arial Narrow"/>
          <w:sz w:val="24"/>
          <w:szCs w:val="24"/>
        </w:rPr>
        <w:t>100 pessoas para espaços abertos e 50 pessoas para espaços fechados</w:t>
      </w:r>
      <w:r w:rsidRPr="00974E0A">
        <w:rPr>
          <w:rFonts w:ascii="Bookman Old Style" w:eastAsia="Arial Narrow" w:hAnsi="Bookman Old Style" w:cs="Arial Narrow"/>
          <w:color w:val="FF0000"/>
          <w:sz w:val="24"/>
          <w:szCs w:val="24"/>
        </w:rPr>
        <w:t xml:space="preserve"> </w:t>
      </w:r>
      <w:r w:rsidRPr="00974E0A">
        <w:rPr>
          <w:rFonts w:ascii="Bookman Old Style" w:eastAsia="Arial Narrow" w:hAnsi="Bookman Old Style" w:cs="Arial Narrow"/>
          <w:sz w:val="24"/>
          <w:szCs w:val="24"/>
        </w:rPr>
        <w:t>ou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em que a distância mínima entre pessoas não possa ser de dois ou mais metros devem ser cancelados ou adiados. </w:t>
      </w:r>
    </w:p>
    <w:p w14:paraId="0000000F" w14:textId="7852EAF1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§ 1º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Nas situações em que não for possível o cancelament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o ou adiamento, devem ocorrer com portões fechados, sem a participação do público. </w:t>
      </w:r>
    </w:p>
    <w:p w14:paraId="00000010" w14:textId="200C2AC5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§ 2º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As reuniões que envolvam população de alto risco para doença severa pelo COVID-19, como idosos e pacientes com doenças crônicas, devem ser canceladas. </w:t>
      </w:r>
    </w:p>
    <w:p w14:paraId="00000011" w14:textId="114FE639" w:rsidR="005D7902" w:rsidRPr="00974E0A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>Art. 4º. Estabe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lecimentos localizados em espaços fechados, com característica de grande circulação de pessoas (tais como cinemas e bibliotecas) estão com suas atividades suspensas </w:t>
      </w:r>
      <w:r w:rsidRPr="00974E0A">
        <w:rPr>
          <w:rFonts w:ascii="Bookman Old Style" w:eastAsia="Arial Narrow" w:hAnsi="Bookman Old Style" w:cs="Arial Narrow"/>
          <w:b/>
          <w:sz w:val="24"/>
          <w:szCs w:val="24"/>
        </w:rPr>
        <w:t>pelo</w:t>
      </w:r>
      <w:r w:rsidR="00974E0A" w:rsidRPr="00974E0A">
        <w:rPr>
          <w:rFonts w:ascii="Bookman Old Style" w:eastAsia="Arial Narrow" w:hAnsi="Bookman Old Style" w:cs="Arial Narrow"/>
          <w:b/>
          <w:sz w:val="24"/>
          <w:szCs w:val="24"/>
        </w:rPr>
        <w:t xml:space="preserve"> prazo de </w:t>
      </w:r>
      <w:r w:rsidR="00602EEC">
        <w:rPr>
          <w:rFonts w:ascii="Bookman Old Style" w:eastAsia="Arial Narrow" w:hAnsi="Bookman Old Style" w:cs="Arial Narrow"/>
          <w:b/>
          <w:sz w:val="24"/>
          <w:szCs w:val="24"/>
        </w:rPr>
        <w:t>30(trinta) dias, prorrogáveis mediante necessidade.</w:t>
      </w:r>
    </w:p>
    <w:p w14:paraId="00000012" w14:textId="763A2594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5º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Os locais de grande circulação de pessoas, tais como termin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ais urbanos e comércio em geral devem reforçar medidas de higienização de superfície e disponibilizar álcool gel 70% para os usuários, em local sinalizado.</w:t>
      </w:r>
    </w:p>
    <w:p w14:paraId="00000013" w14:textId="6EC7597A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§ 1º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Devem ser disponibilizadas informações 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visíveis sobre higienização de mãos, sabonete líquido e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papel toalha descartável nos lavatórios de higienização de mãos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. </w:t>
      </w:r>
    </w:p>
    <w:p w14:paraId="00000014" w14:textId="70C0811F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§ 2º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As empresas de transporte coletivo devem reforçar as medidas de higienização no interior de seus veículos. </w:t>
      </w:r>
    </w:p>
    <w:p w14:paraId="00000015" w14:textId="2426805E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§ 3º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Todos os eventos permitidos de acordo com o Art. 3º deste Decreto dever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ão adotar as medidas do </w:t>
      </w:r>
      <w:r w:rsidRPr="00974E0A">
        <w:rPr>
          <w:rFonts w:ascii="Bookman Old Style" w:eastAsia="Arial Narrow" w:hAnsi="Bookman Old Style" w:cs="Arial Narrow"/>
          <w:i/>
          <w:sz w:val="24"/>
          <w:szCs w:val="24"/>
        </w:rPr>
        <w:t>caput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desse artigo. </w:t>
      </w:r>
    </w:p>
    <w:p w14:paraId="00000016" w14:textId="74176498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6º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Os serviços de alimentação, tais como 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restaurantes, lanchonetes e bares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, deverão adotar medidas de prevenção para conter a disseminação da COVID-19: </w:t>
      </w:r>
    </w:p>
    <w:p w14:paraId="00000017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I - Disponibilizar álcool gel 70% na entrada do estab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elecimento para uso dos clientes; </w:t>
      </w:r>
    </w:p>
    <w:p w14:paraId="00000018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II - observar na organização de suas mesas a distância mínima de um metro e meio entre elas; </w:t>
      </w:r>
    </w:p>
    <w:p w14:paraId="00000019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III- Aumentar frequência de higienização de superfícies; </w:t>
      </w:r>
    </w:p>
    <w:p w14:paraId="0000001A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IV- Manter ventilados ambientes de uso dos clientes. </w:t>
      </w:r>
    </w:p>
    <w:p w14:paraId="0000001B" w14:textId="5908CFD9" w:rsidR="005D7902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7º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Estão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602EEC" w:rsidRPr="00602EEC">
        <w:rPr>
          <w:rFonts w:ascii="Bookman Old Style" w:eastAsia="Arial Narrow" w:hAnsi="Bookman Old Style" w:cs="Arial Narrow"/>
          <w:b/>
          <w:sz w:val="24"/>
          <w:szCs w:val="24"/>
        </w:rPr>
        <w:t>suspensas por 30(trinta) dias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 xml:space="preserve"> as aulas, </w:t>
      </w:r>
      <w:r w:rsidR="00602EEC">
        <w:rPr>
          <w:rFonts w:ascii="Bookman Old Style" w:eastAsia="Arial Narrow" w:hAnsi="Bookman Old Style" w:cs="Arial Narrow"/>
          <w:b/>
          <w:sz w:val="24"/>
          <w:szCs w:val="24"/>
        </w:rPr>
        <w:t xml:space="preserve">prorrogáveis </w:t>
      </w:r>
      <w:r w:rsidR="00602EEC">
        <w:rPr>
          <w:rFonts w:ascii="Bookman Old Style" w:eastAsia="Arial Narrow" w:hAnsi="Bookman Old Style" w:cs="Arial Narrow"/>
          <w:b/>
          <w:sz w:val="24"/>
          <w:szCs w:val="24"/>
        </w:rPr>
        <w:t xml:space="preserve">mediante necessidade,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sem prejuízo da manutenção do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 xml:space="preserve">calendário recomendado pelo Ministério da Educação, nas unidades da rede pública e privada de ensino, incluindo educação infantil, fundamental, nível médio, EJA – educação de jovens e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adul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 xml:space="preserve">tos, técnico e ensino superior, a contar do </w:t>
      </w:r>
      <w:r w:rsidR="00602EEC" w:rsidRPr="00602EEC">
        <w:rPr>
          <w:rFonts w:ascii="Bookman Old Style" w:eastAsia="Arial Narrow" w:hAnsi="Bookman Old Style" w:cs="Arial Narrow"/>
          <w:b/>
          <w:sz w:val="24"/>
          <w:szCs w:val="24"/>
        </w:rPr>
        <w:t>dia 18 de março de 2020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>.</w:t>
      </w:r>
    </w:p>
    <w:p w14:paraId="787753DF" w14:textId="51BE6D32" w:rsidR="00602EEC" w:rsidRPr="00F92F00" w:rsidRDefault="00602EEC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 xml:space="preserve">Parágrafo único. Com relação aos Centros de Educação Infantil, os mesmos funcionarão até a próxima sexta-feira, </w:t>
      </w:r>
      <w:r w:rsidRPr="00602EEC">
        <w:rPr>
          <w:rFonts w:ascii="Bookman Old Style" w:eastAsia="Arial Narrow" w:hAnsi="Bookman Old Style" w:cs="Arial Narrow"/>
          <w:b/>
          <w:sz w:val="24"/>
          <w:szCs w:val="24"/>
        </w:rPr>
        <w:t>dia 20 de março</w:t>
      </w:r>
      <w:r>
        <w:rPr>
          <w:rFonts w:ascii="Bookman Old Style" w:eastAsia="Arial Narrow" w:hAnsi="Bookman Old Style" w:cs="Arial Narrow"/>
          <w:sz w:val="24"/>
          <w:szCs w:val="24"/>
        </w:rPr>
        <w:t>, para as crianças, cujos pais necessitem se adaptar à realidade.</w:t>
      </w:r>
    </w:p>
    <w:p w14:paraId="0000001C" w14:textId="4EDD6449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8º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.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O uso de bebedouros de pressão deve observar os seguintes critérios:</w:t>
      </w:r>
    </w:p>
    <w:p w14:paraId="0000001D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I - Lacrar as torneiras a jato que permitem a ingestão de água diretamente dos bebedouros, de forma que se evite o contato da boca do usuário com o equipamento; </w:t>
      </w:r>
    </w:p>
    <w:p w14:paraId="0000001E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II - Garantir que o usuário não beba água diretamente do bebedouro, para evitar contato da bo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ca com a haste (torneira) do bebedouro; </w:t>
      </w:r>
    </w:p>
    <w:p w14:paraId="0000001F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III - Caso não seja possível lacrar ou remover o sistema de torneiras com jato de água, o bebedouro deverá ser substituído por equipamento que possibilite retirada de água apenas em copos descartáveis ou recipientes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de uso individual; </w:t>
      </w:r>
    </w:p>
    <w:p w14:paraId="00000020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IV - Caso o estabelecimento possua implantado em sua rotina a utilização de utensílios permanentes (canecas, copos, etc.), estes deverão ser de uso exclusivo de cada usuário, devendo ser higienizados rigorosamente; </w:t>
      </w:r>
    </w:p>
    <w:p w14:paraId="00000021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V - Higienizar freq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uentemente os bebedouros. </w:t>
      </w:r>
    </w:p>
    <w:p w14:paraId="00000022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Art. 9º. Recomenda-se que a iniciativa privada adote medidas imediatas a fim de ampliar os quantitativos de profissionais atuando em </w:t>
      </w:r>
      <w:proofErr w:type="spellStart"/>
      <w:r w:rsidRPr="00F92F00">
        <w:rPr>
          <w:rFonts w:ascii="Bookman Old Style" w:eastAsia="Arial Narrow" w:hAnsi="Bookman Old Style" w:cs="Arial Narrow"/>
          <w:sz w:val="24"/>
          <w:szCs w:val="24"/>
        </w:rPr>
        <w:t>teletrabalho</w:t>
      </w:r>
      <w:proofErr w:type="spellEnd"/>
      <w:r w:rsidRPr="00F92F00">
        <w:rPr>
          <w:rFonts w:ascii="Bookman Old Style" w:eastAsia="Arial Narrow" w:hAnsi="Bookman Old Style" w:cs="Arial Narrow"/>
          <w:sz w:val="24"/>
          <w:szCs w:val="24"/>
        </w:rPr>
        <w:t>.</w:t>
      </w:r>
    </w:p>
    <w:p w14:paraId="00000023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>Art. 10. No caso específico de aumento injustificado de preços de produtos de comb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ate e proteção ao COVID-19, será cassado, como medida cautelar prevista no parágrafo único do art. 56, da Lei Federal n 8.078, de 1990 (Código de Defesa do Consumidor), o Alvará de Funcionamento de estabelecimentos que incorrerem em práticas abusivas ao di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reito do consumidor, previamente constatado pelos fiscais do Município ou órgãos que detenham essa função. </w:t>
      </w:r>
    </w:p>
    <w:p w14:paraId="00000024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Parágrafo único. A penalidade prescrita no caput deste artigo será imposta sem embargo de outras previstas na legislação. </w:t>
      </w:r>
    </w:p>
    <w:p w14:paraId="00000025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Capítulo II – Das Medidas Administrativas aos Órgãos Municipais</w:t>
      </w:r>
    </w:p>
    <w:p w14:paraId="00000026" w14:textId="78B27AF0" w:rsidR="005D7902" w:rsidRPr="00F92F00" w:rsidRDefault="00974E0A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 xml:space="preserve">Art. 11. </w:t>
      </w:r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 xml:space="preserve">É obrigatória a adoção de medidas de distanciamento social, de hábitos de higiene básicos e de ampliação das rotinas de limpeza em todos os órgãos públicos municipais, incluindo os da </w:t>
      </w:r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 xml:space="preserve">administração direta, indireta e fundacional. </w:t>
      </w:r>
    </w:p>
    <w:p w14:paraId="00000027" w14:textId="483E9972" w:rsidR="005D7902" w:rsidRPr="00F92F00" w:rsidRDefault="00974E0A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>Parágrafo único</w:t>
      </w:r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 xml:space="preserve">. Orienta-se que todos os servidores, fora de seu horário de expediente, adotem medidas de distanciamento social, evitando circular em ambientes com grande concentração de pessoas. </w:t>
      </w:r>
    </w:p>
    <w:p w14:paraId="00000028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12. Deverá ser gara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ntida a circulação de ar externo nos prédios municipais, preferencialmente mantendo-se as janelas abertas e com a não utilização de aparelhos de ar condicionado. </w:t>
      </w:r>
    </w:p>
    <w:p w14:paraId="00000029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13. As reuniões realizadas pelo Poder Público municipal devem ser realizadas prioritaria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mente de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 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forma não presencial, com uso de meios eletrônicos. </w:t>
      </w:r>
    </w:p>
    <w:p w14:paraId="0000002A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§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1º. As reuniões presenciais indispensáveis devem ser realizadas em espaços ventilados e que propiciem um distanciamento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>mínimo de 2 metros entre as pessoas, respeitando-se as previsões constan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tes do art. 3º deste Decreto. </w:t>
      </w:r>
    </w:p>
    <w:p w14:paraId="0000002B" w14:textId="004EA37A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§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2º. Devem ser evitadas aglomerações, sobretudo em ambientes em que não seja possível garantir a ventilação natural adequada, inclusive elevadores. </w:t>
      </w:r>
    </w:p>
    <w:p w14:paraId="0000002C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Art. 14. Cada Secretaria fica 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responsável por adotar medidas para aumentar a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frequência de limpeza dos banheiros, elevadores, corrimãos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, maçanetas, telefones, além de providenciar a instalação de dispensadores de álcool gel nas áreas de circulação e nos ambientes internos de trabalho. </w:t>
      </w:r>
    </w:p>
    <w:p w14:paraId="0000002D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16. Ficam suspensas todas as viagens ofi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ciais internacionais e interestaduais, sendo que casos excepcionais poderão ser autorizados pelo Chefe do poder Executivo. </w:t>
      </w:r>
    </w:p>
    <w:p w14:paraId="0000002E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17. Os servidores que realizarem viagem particular para outra cidade, diferente do seu local de trabalho ou de domicílio, dever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ão comunicar ao Secretário da pasta a qual está vinculado. </w:t>
      </w:r>
    </w:p>
    <w:p w14:paraId="0000002F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18. Sendo verificado que servidores ou público atendido nas dependências dos órgãos municipais apresentam sintomas sugestivos de infecção pelo COVID-19 (tosse seca, febre, dor de garganta, mi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algia, cefaleia, dificuldade respiratória e prostração), deverá ser comunicado imediatamente a Secretaria Municipal de Saúde e seguidas 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as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recomendações indicadas pelo atendente. </w:t>
      </w:r>
    </w:p>
    <w:p w14:paraId="00000030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Parágrafo único. Sendo indicado que existe suspeita de </w:t>
      </w:r>
      <w:proofErr w:type="spellStart"/>
      <w:r w:rsidRPr="00F92F00">
        <w:rPr>
          <w:rFonts w:ascii="Bookman Old Style" w:eastAsia="Arial Narrow" w:hAnsi="Bookman Old Style" w:cs="Arial Narrow"/>
          <w:sz w:val="24"/>
          <w:szCs w:val="24"/>
        </w:rPr>
        <w:t>Coronavirus</w:t>
      </w:r>
      <w:proofErr w:type="spellEnd"/>
      <w:r w:rsidRPr="00F92F00">
        <w:rPr>
          <w:rFonts w:ascii="Bookman Old Style" w:eastAsia="Arial Narrow" w:hAnsi="Bookman Old Style" w:cs="Arial Narrow"/>
          <w:sz w:val="24"/>
          <w:szCs w:val="24"/>
        </w:rPr>
        <w:t>, deverá s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er comunicado imediatamente ao Secretário da Saúde. </w:t>
      </w:r>
    </w:p>
    <w:p w14:paraId="00000031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Art. 19. Os fiscais dos contratos de prestação de serviço e de fornecimento de bens devem notificar as pessoas físicas e jurídicas contratadas pelo Município quanto à responsabilidade destas em adotar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>to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dos os meios necessários para conscientizar e prevenir seus trabalhadores acerca dos riscos do contágio do COVID -19, </w:t>
      </w:r>
      <w:proofErr w:type="gramStart"/>
      <w:r w:rsidRPr="00F92F00">
        <w:rPr>
          <w:rFonts w:ascii="Bookman Old Style" w:eastAsia="Arial Narrow" w:hAnsi="Bookman Old Style" w:cs="Arial Narrow"/>
          <w:sz w:val="24"/>
          <w:szCs w:val="24"/>
        </w:rPr>
        <w:t>sob pena</w:t>
      </w:r>
      <w:proofErr w:type="gramEnd"/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de responsabilização legal ou contratual. </w:t>
      </w:r>
    </w:p>
    <w:p w14:paraId="00000032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Art. 20. Ficam suspensos os serviços de atendimento coletivo, serviços de convivência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e fortalecimento de vínculos, plenária e reuniões de Conselhos Municipais, grupos de convivência de idosos, oficinas e reuniões ampliadas e passeios, no âmbito da Secretaria Municipal de Assistência Social.</w:t>
      </w:r>
    </w:p>
    <w:p w14:paraId="00000033" w14:textId="0ECD536A" w:rsidR="005D7902" w:rsidRPr="00F92F00" w:rsidRDefault="00974E0A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>Parágrafo único.</w:t>
      </w:r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 xml:space="preserve"> Ficam mantidos os atendimentos individuais </w:t>
      </w:r>
      <w:r w:rsidR="00A83F5F" w:rsidRPr="00F92F00">
        <w:rPr>
          <w:rFonts w:ascii="Bookman Old Style" w:eastAsia="Arial Narrow" w:hAnsi="Bookman Old Style" w:cs="Arial Narrow"/>
          <w:sz w:val="24"/>
          <w:szCs w:val="24"/>
        </w:rPr>
        <w:t xml:space="preserve">prioritários e emergenciais, os quais deverão ser realizados preferencialmente por meio eletrônico e, quando não for assim possível, presencialmente mediante agendamento prévio. </w:t>
      </w:r>
    </w:p>
    <w:p w14:paraId="09EC5599" w14:textId="77777777" w:rsidR="00602EEC" w:rsidRPr="00602EEC" w:rsidRDefault="00A83F5F" w:rsidP="00602EEC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21. Ficam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 xml:space="preserve"> suspensas por </w:t>
      </w:r>
      <w:r w:rsidR="00602EEC" w:rsidRPr="00602EEC">
        <w:rPr>
          <w:rFonts w:ascii="Bookman Old Style" w:eastAsia="Arial Narrow" w:hAnsi="Bookman Old Style" w:cs="Arial Narrow"/>
          <w:b/>
          <w:sz w:val="24"/>
          <w:szCs w:val="24"/>
        </w:rPr>
        <w:t>30(trinta) dias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as visitas ao público acolhid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o em abrigos e instituições de longa permanência munici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 xml:space="preserve">pais (próprios e rede parceira), </w:t>
      </w:r>
      <w:r w:rsidR="00602EEC" w:rsidRPr="00602EEC">
        <w:rPr>
          <w:rFonts w:ascii="Bookman Old Style" w:eastAsia="Arial Narrow" w:hAnsi="Bookman Old Style" w:cs="Arial Narrow"/>
          <w:sz w:val="24"/>
          <w:szCs w:val="24"/>
        </w:rPr>
        <w:t>prorrogáveis mediante necessidade.</w:t>
      </w:r>
    </w:p>
    <w:p w14:paraId="00000035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Art. 22. Ficam suspensas as férias e licenças prêmio de todos os servidores da Secretaria Municipal de Saúde. </w:t>
      </w:r>
    </w:p>
    <w:p w14:paraId="00000036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23. A Secretaria Municipal de Administração fica aut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orizada a adotar outras providências administrativas necessárias ou complementares para evitar a propagação interna COVID-19. </w:t>
      </w:r>
    </w:p>
    <w:p w14:paraId="00000037" w14:textId="53C2D1A4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25. A Secret</w:t>
      </w:r>
      <w:r w:rsidR="00974E0A">
        <w:rPr>
          <w:rFonts w:ascii="Bookman Old Style" w:eastAsia="Arial Narrow" w:hAnsi="Bookman Old Style" w:cs="Arial Narrow"/>
          <w:sz w:val="24"/>
          <w:szCs w:val="24"/>
        </w:rPr>
        <w:t>aria Municipal de Administração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deve promover ampla divulgação do presente Decreto, assim como desenvolver campanha de esclarecimento com vistas à prevenção ao contágio pelo COVID19 em todas as dependências públicas municipais. </w:t>
      </w:r>
    </w:p>
    <w:p w14:paraId="00000038" w14:textId="77777777" w:rsidR="005D7902" w:rsidRPr="00F92F00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Art. 26. 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Os casos omissos relativos ao funcionamento interno dos órgãos públicos municipais serão decididos pela Secretaria Municipal de Administração. </w:t>
      </w:r>
    </w:p>
    <w:p w14:paraId="00000039" w14:textId="77777777" w:rsidR="005D7902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lastRenderedPageBreak/>
        <w:t>Art. 27. As medidas previstas neste Decreto poderão ser reavaliadas a qualquer momento, de acordo com a situação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 epidemiológica do município. </w:t>
      </w:r>
    </w:p>
    <w:p w14:paraId="4A9C789E" w14:textId="320A020C" w:rsidR="00602EEC" w:rsidRPr="00F92F00" w:rsidRDefault="00602EEC" w:rsidP="00A83F5F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>Art. 28. Os casos omissos, bem como a forma que se dará o funcionamento dos órgãos públicos municipais nesse período de 30(trinta) dias, terão seus decretos edit</w:t>
      </w:r>
      <w:bookmarkStart w:id="0" w:name="_GoBack"/>
      <w:bookmarkEnd w:id="0"/>
      <w:r>
        <w:rPr>
          <w:rFonts w:ascii="Bookman Old Style" w:eastAsia="Arial Narrow" w:hAnsi="Bookman Old Style" w:cs="Arial Narrow"/>
          <w:sz w:val="24"/>
          <w:szCs w:val="24"/>
        </w:rPr>
        <w:t>ados separadamente e oportunamente, conforme for o caso.</w:t>
      </w:r>
    </w:p>
    <w:p w14:paraId="6465E328" w14:textId="4F041531" w:rsidR="000A753D" w:rsidRDefault="00A83F5F" w:rsidP="00974E0A">
      <w:pPr>
        <w:spacing w:line="360" w:lineRule="auto"/>
        <w:ind w:firstLine="1701"/>
        <w:jc w:val="both"/>
        <w:rPr>
          <w:rFonts w:ascii="Bookman Old Style" w:eastAsia="Arial Narrow" w:hAnsi="Bookman Old Style" w:cs="Arial Narrow"/>
          <w:sz w:val="24"/>
          <w:szCs w:val="24"/>
        </w:rPr>
      </w:pPr>
      <w:r w:rsidRPr="00F92F00">
        <w:rPr>
          <w:rFonts w:ascii="Bookman Old Style" w:eastAsia="Arial Narrow" w:hAnsi="Bookman Old Style" w:cs="Arial Narrow"/>
          <w:sz w:val="24"/>
          <w:szCs w:val="24"/>
        </w:rPr>
        <w:t>Art. 2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>9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>. Este Decreto entra em vigor na data de sua publicação, produzindo efeitos a partir de 1</w:t>
      </w:r>
      <w:r w:rsidR="00602EEC">
        <w:rPr>
          <w:rFonts w:ascii="Bookman Old Style" w:eastAsia="Arial Narrow" w:hAnsi="Bookman Old Style" w:cs="Arial Narrow"/>
          <w:sz w:val="24"/>
          <w:szCs w:val="24"/>
        </w:rPr>
        <w:t>8</w:t>
      </w:r>
      <w:r w:rsidRPr="00F92F00">
        <w:rPr>
          <w:rFonts w:ascii="Bookman Old Style" w:eastAsia="Arial Narrow" w:hAnsi="Bookman Old Style" w:cs="Arial Narrow"/>
          <w:sz w:val="24"/>
          <w:szCs w:val="24"/>
        </w:rPr>
        <w:t xml:space="preserve">/03/2020. </w:t>
      </w:r>
      <w:bookmarkStart w:id="1" w:name="_gjdgxs" w:colFirst="0" w:colLast="0"/>
      <w:bookmarkEnd w:id="1"/>
    </w:p>
    <w:p w14:paraId="28F7AD7B" w14:textId="13CEE505" w:rsidR="00974E0A" w:rsidRDefault="00974E0A" w:rsidP="00602EEC">
      <w:pPr>
        <w:spacing w:line="360" w:lineRule="auto"/>
        <w:jc w:val="center"/>
        <w:rPr>
          <w:rFonts w:ascii="Bookman Old Style" w:eastAsia="Arial Narrow" w:hAnsi="Bookman Old Style" w:cs="Arial Narrow"/>
          <w:sz w:val="24"/>
          <w:szCs w:val="24"/>
        </w:rPr>
      </w:pPr>
      <w:r>
        <w:rPr>
          <w:rFonts w:ascii="Bookman Old Style" w:eastAsia="Arial Narrow" w:hAnsi="Bookman Old Style" w:cs="Arial Narrow"/>
          <w:sz w:val="24"/>
          <w:szCs w:val="24"/>
        </w:rPr>
        <w:t>Município de Papanduva, em 17 de março de 2020.</w:t>
      </w:r>
    </w:p>
    <w:p w14:paraId="2A934273" w14:textId="77777777" w:rsidR="00602EEC" w:rsidRDefault="00602EEC" w:rsidP="00974E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14:paraId="03349A8E" w14:textId="42A824FA" w:rsidR="00974E0A" w:rsidRPr="00974E0A" w:rsidRDefault="00974E0A" w:rsidP="00974E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974E0A">
        <w:rPr>
          <w:rFonts w:ascii="Bookman Old Style" w:hAnsi="Bookman Old Style"/>
          <w:sz w:val="24"/>
          <w:szCs w:val="24"/>
        </w:rPr>
        <w:t xml:space="preserve">Luiz Henrique </w:t>
      </w:r>
      <w:proofErr w:type="spellStart"/>
      <w:r w:rsidRPr="00974E0A">
        <w:rPr>
          <w:rFonts w:ascii="Bookman Old Style" w:hAnsi="Bookman Old Style"/>
          <w:sz w:val="24"/>
          <w:szCs w:val="24"/>
        </w:rPr>
        <w:t>Saliba</w:t>
      </w:r>
      <w:proofErr w:type="spellEnd"/>
    </w:p>
    <w:p w14:paraId="1419F3BC" w14:textId="479F65B5" w:rsidR="00974E0A" w:rsidRDefault="00974E0A" w:rsidP="00974E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974E0A">
        <w:rPr>
          <w:rFonts w:ascii="Bookman Old Style" w:hAnsi="Bookman Old Style"/>
          <w:sz w:val="24"/>
          <w:szCs w:val="24"/>
        </w:rPr>
        <w:t>Prefeito Municipal</w:t>
      </w:r>
    </w:p>
    <w:p w14:paraId="37AE9EE4" w14:textId="77777777" w:rsidR="00412F35" w:rsidRDefault="00412F35" w:rsidP="00974E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14:paraId="4F4780D4" w14:textId="77777777" w:rsidR="00602EEC" w:rsidRDefault="00602EEC" w:rsidP="00974E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14:paraId="20E81B57" w14:textId="77777777" w:rsidR="00602EEC" w:rsidRPr="00922A15" w:rsidRDefault="00602EEC" w:rsidP="00602EEC">
      <w:pPr>
        <w:ind w:left="3960"/>
        <w:jc w:val="both"/>
        <w:rPr>
          <w:rFonts w:ascii="Bookman Old Style" w:eastAsia="Lucida Sans Unicode" w:hAnsi="Bookman Old Style" w:cs="Bookman Old Style"/>
          <w:sz w:val="20"/>
          <w:szCs w:val="20"/>
        </w:rPr>
      </w:pPr>
      <w:r w:rsidRPr="00922A15">
        <w:rPr>
          <w:rFonts w:ascii="Bookman Old Style" w:eastAsia="Lucida Sans Unicode" w:hAnsi="Bookman Old Style" w:cs="Bookman Old Style"/>
          <w:sz w:val="20"/>
          <w:szCs w:val="20"/>
        </w:rPr>
        <w:t>Este Decreto foi registrado na Secretaria da Administração e publicado no átrio – mural de publicações desta prefeitura municipal, na mesma data supra.</w:t>
      </w:r>
    </w:p>
    <w:p w14:paraId="036D8D22" w14:textId="7DB1D3EB" w:rsidR="00602EEC" w:rsidRPr="00602EEC" w:rsidRDefault="00602EEC" w:rsidP="00602EEC">
      <w:pPr>
        <w:pStyle w:val="SemEspaamen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Estela Mari </w:t>
      </w:r>
      <w:proofErr w:type="spellStart"/>
      <w:r>
        <w:rPr>
          <w:rFonts w:ascii="Bookman Old Style" w:hAnsi="Bookman Old Style"/>
        </w:rPr>
        <w:t>Ferens</w:t>
      </w:r>
      <w:proofErr w:type="spellEnd"/>
    </w:p>
    <w:p w14:paraId="1CCC117E" w14:textId="09DA9A38" w:rsidR="00602EEC" w:rsidRPr="00602EEC" w:rsidRDefault="00602EEC" w:rsidP="00602EEC">
      <w:pPr>
        <w:pStyle w:val="SemEspaamento"/>
        <w:jc w:val="right"/>
        <w:rPr>
          <w:rFonts w:ascii="Bookman Old Style" w:hAnsi="Bookman Old Style"/>
        </w:rPr>
      </w:pPr>
      <w:r>
        <w:rPr>
          <w:rFonts w:ascii="Bookman Old Style" w:eastAsia="Lucida Sans Unicode" w:hAnsi="Bookman Old Style"/>
          <w:b/>
          <w:bCs/>
        </w:rPr>
        <w:t>Administradora</w:t>
      </w:r>
    </w:p>
    <w:p w14:paraId="5BC7D4D4" w14:textId="77777777" w:rsidR="00602EEC" w:rsidRPr="00922A15" w:rsidRDefault="00602EEC" w:rsidP="00602EEC">
      <w:pPr>
        <w:rPr>
          <w:sz w:val="20"/>
          <w:szCs w:val="20"/>
        </w:rPr>
      </w:pPr>
    </w:p>
    <w:p w14:paraId="1C3CC2DA" w14:textId="77777777" w:rsidR="00602EEC" w:rsidRDefault="00602EEC" w:rsidP="00602EEC">
      <w:pPr>
        <w:ind w:firstLine="1710"/>
        <w:jc w:val="both"/>
      </w:pPr>
    </w:p>
    <w:p w14:paraId="620BE602" w14:textId="77777777" w:rsidR="00602EEC" w:rsidRDefault="00602EEC" w:rsidP="00602EEC"/>
    <w:p w14:paraId="0526145E" w14:textId="77777777" w:rsidR="00602EEC" w:rsidRPr="00974E0A" w:rsidRDefault="00602EEC" w:rsidP="00974E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sectPr w:rsidR="00602EEC" w:rsidRPr="00974E0A" w:rsidSect="000A753D">
      <w:pgSz w:w="11906" w:h="16838"/>
      <w:pgMar w:top="2835" w:right="1134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7902"/>
    <w:rsid w:val="000A753D"/>
    <w:rsid w:val="00412F35"/>
    <w:rsid w:val="005D7902"/>
    <w:rsid w:val="00602EEC"/>
    <w:rsid w:val="00974E0A"/>
    <w:rsid w:val="00A83F5F"/>
    <w:rsid w:val="00CC7454"/>
    <w:rsid w:val="00D83706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74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74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Estela</dc:creator>
  <cp:lastModifiedBy>Estela</cp:lastModifiedBy>
  <cp:revision>5</cp:revision>
  <cp:lastPrinted>2020-03-17T14:02:00Z</cp:lastPrinted>
  <dcterms:created xsi:type="dcterms:W3CDTF">2020-03-17T11:57:00Z</dcterms:created>
  <dcterms:modified xsi:type="dcterms:W3CDTF">2020-03-17T14:15:00Z</dcterms:modified>
</cp:coreProperties>
</file>