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A12AA2">
        <w:rPr>
          <w:rFonts w:ascii="Bookman Old Style" w:hAnsi="Bookman Old Style" w:cs="Arial"/>
          <w:bCs w:val="0"/>
          <w:color w:val="auto"/>
          <w:lang w:val="pt-BR"/>
        </w:rPr>
        <w:t>123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 EXCESSO DE ARRECADAÇÃO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a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Lei </w:t>
      </w:r>
      <w:r w:rsidR="00570971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6.5</w:t>
      </w:r>
      <w:r w:rsidR="00162C0C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10</w:t>
      </w:r>
      <w:r w:rsidR="0002512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CA217A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2</w:t>
      </w:r>
      <w:r w:rsidR="00162C0C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8</w:t>
      </w:r>
      <w:r w:rsidR="0094251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/05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/2020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162C0C" w:rsidRDefault="00D037F6" w:rsidP="00162C0C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>R$ 720.000,00 (setecentos e vinte mil reais)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62C0C">
        <w:rPr>
          <w:rFonts w:ascii="Bookman Old Style" w:hAnsi="Bookman Old Style"/>
          <w:lang w:val="pt-BR"/>
        </w:rPr>
        <w:t>, com a seguinte classificação institucional:</w:t>
      </w:r>
    </w:p>
    <w:p w:rsidR="00162C0C" w:rsidRDefault="00162C0C" w:rsidP="00162C0C">
      <w:pPr>
        <w:spacing w:after="0" w:line="240" w:lineRule="auto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62C0C" w:rsidRDefault="00162C0C" w:rsidP="00162C0C">
      <w:pPr>
        <w:spacing w:after="0" w:line="240" w:lineRule="auto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162C0C" w:rsidRDefault="00162C0C" w:rsidP="00162C0C">
      <w:pPr>
        <w:tabs>
          <w:tab w:val="left" w:pos="9356"/>
          <w:tab w:val="left" w:pos="9923"/>
        </w:tabs>
        <w:spacing w:after="0" w:line="240" w:lineRule="auto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Diretas......................................................720.000,00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23813 – SUS União – Custeio – Coronavírus (Covid-19)</w:t>
      </w:r>
    </w:p>
    <w:bookmarkEnd w:id="11"/>
    <w:bookmarkEnd w:id="12"/>
    <w:bookmarkEnd w:id="13"/>
    <w:p w:rsidR="00162C0C" w:rsidRDefault="00162C0C" w:rsidP="00162C0C">
      <w:pPr>
        <w:spacing w:after="0" w:line="240" w:lineRule="auto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162C0C" w:rsidRPr="00DF0AA9" w:rsidRDefault="005F3A74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CA217A">
        <w:rPr>
          <w:rFonts w:ascii="Bookman Old Style" w:hAnsi="Bookman Old Style" w:cs="Lucida Sans Unicode"/>
          <w:bCs/>
          <w:lang w:val="pt-BR"/>
        </w:rPr>
        <w:t xml:space="preserve"> </w:t>
      </w:r>
      <w:r w:rsidR="00162C0C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 excesso de arrecadação,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>R$ 720.000,00 (setecentos e vinte mil reais)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162C0C" w:rsidRDefault="00162C0C" w:rsidP="00162C0C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Tabela 1 - Demonstrativo do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162C0C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DF5DDF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DF5DDF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980.269,00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1.700.269,00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720.000,00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720.000,00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DF5DDF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DF5DDF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720.000,00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162C0C" w:rsidRPr="00DF0AA9" w:rsidRDefault="00162C0C" w:rsidP="00162C0C">
      <w:pPr>
        <w:spacing w:after="0" w:line="240" w:lineRule="auto"/>
        <w:jc w:val="both"/>
        <w:rPr>
          <w:rFonts w:ascii="Bookman Old Style" w:hAnsi="Bookman Old Style" w:cs="Lucida Sans Unicode"/>
          <w:b/>
        </w:rPr>
      </w:pPr>
    </w:p>
    <w:p w:rsidR="00CA217A" w:rsidRDefault="00CA217A" w:rsidP="00162C0C">
      <w:pPr>
        <w:spacing w:after="0"/>
        <w:ind w:left="567"/>
        <w:jc w:val="both"/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lastRenderedPageBreak/>
        <w:t xml:space="preserve">Art. </w:t>
      </w:r>
      <w:r w:rsidR="00C0600F">
        <w:rPr>
          <w:rFonts w:ascii="Bookman Old Style" w:hAnsi="Bookman Old Style" w:cs="Lucida Sans Unicode"/>
          <w:b/>
          <w:bCs/>
          <w:lang w:val="pt-BR"/>
        </w:rPr>
        <w:t>3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C0600F">
        <w:rPr>
          <w:rFonts w:ascii="Bookman Old Style" w:hAnsi="Bookman Old Style" w:cs="Lucida Sans Unicode"/>
          <w:b/>
          <w:bCs/>
          <w:lang w:val="pt-BR"/>
        </w:rPr>
        <w:t>4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C0600F">
        <w:rPr>
          <w:rFonts w:ascii="Bookman Old Style" w:hAnsi="Bookman Old Style"/>
          <w:b/>
          <w:bCs/>
          <w:lang w:val="pt-BR"/>
        </w:rPr>
        <w:t>5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162C0C">
        <w:rPr>
          <w:rFonts w:ascii="Bookman Old Style" w:hAnsi="Bookman Old Style" w:cs="Arial"/>
          <w:lang w:val="pt-BR"/>
        </w:rPr>
        <w:t>01 de junho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AF60EC" w:rsidRDefault="00AF60E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432A8D" w:rsidRDefault="00432A8D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87D49" w:rsidRDefault="00887D49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E91712" w:rsidRPr="006A6F33" w:rsidRDefault="00E91712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8120FD" w:rsidRDefault="005F3A74" w:rsidP="005F3A74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162C0C">
        <w:rPr>
          <w:rFonts w:ascii="Bookman Old Style" w:hAnsi="Bookman Old Style" w:cs="Lucida Sans Unicode"/>
          <w:color w:val="auto"/>
          <w:sz w:val="22"/>
          <w:szCs w:val="22"/>
        </w:rPr>
        <w:t>01/06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5F3A74" w:rsidRPr="008120FD" w:rsidRDefault="005F3A74" w:rsidP="0025413E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p w:rsidR="00887D49" w:rsidRPr="0079386C" w:rsidRDefault="00887D49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</w:rPr>
      </w:pPr>
    </w:p>
    <w:sectPr w:rsidR="00887D49" w:rsidRPr="0079386C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73" w:rsidRDefault="00173B73" w:rsidP="0045236A">
      <w:pPr>
        <w:spacing w:after="0" w:line="240" w:lineRule="auto"/>
      </w:pPr>
      <w:r>
        <w:separator/>
      </w:r>
    </w:p>
  </w:endnote>
  <w:endnote w:type="continuationSeparator" w:id="0">
    <w:p w:rsidR="00173B73" w:rsidRDefault="00173B73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73" w:rsidRDefault="00173B73">
    <w:pPr>
      <w:pStyle w:val="Rodap"/>
    </w:pPr>
  </w:p>
  <w:p w:rsidR="00173B73" w:rsidRDefault="00173B73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5619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B73" w:rsidRDefault="00173B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73" w:rsidRDefault="00173B73" w:rsidP="0045236A">
      <w:pPr>
        <w:spacing w:after="0" w:line="240" w:lineRule="auto"/>
      </w:pPr>
      <w:r>
        <w:separator/>
      </w:r>
    </w:p>
  </w:footnote>
  <w:footnote w:type="continuationSeparator" w:id="0">
    <w:p w:rsidR="00173B73" w:rsidRDefault="00173B73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73" w:rsidRDefault="00173B73">
    <w:pPr>
      <w:pStyle w:val="Cabealho"/>
    </w:pPr>
    <w:r>
      <w:rPr>
        <w:noProof/>
        <w:lang w:eastAsia="pt-BR"/>
      </w:rPr>
      <w:drawing>
        <wp:inline distT="0" distB="0" distL="0" distR="0">
          <wp:extent cx="6810375" cy="90487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B73" w:rsidRDefault="00173B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3</cp:revision>
  <cp:lastPrinted>2018-06-12T18:44:00Z</cp:lastPrinted>
  <dcterms:created xsi:type="dcterms:W3CDTF">2020-06-01T17:12:00Z</dcterms:created>
  <dcterms:modified xsi:type="dcterms:W3CDTF">2020-06-01T18:50:00Z</dcterms:modified>
</cp:coreProperties>
</file>